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B3" w:rsidRPr="003874B3" w:rsidRDefault="003874B3" w:rsidP="003874B3">
      <w:pPr>
        <w:spacing w:line="216" w:lineRule="auto"/>
        <w:jc w:val="both"/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</w:pPr>
    </w:p>
    <w:p w:rsidR="003874B3" w:rsidRPr="003874B3" w:rsidRDefault="003874B3" w:rsidP="003874B3">
      <w:pPr>
        <w:spacing w:line="216" w:lineRule="auto"/>
        <w:jc w:val="both"/>
        <w:rPr>
          <w:rFonts w:asciiTheme="majorHAnsi" w:hAnsiTheme="majorHAnsi" w:cstheme="majorHAnsi"/>
          <w:b/>
          <w:sz w:val="40"/>
        </w:rPr>
      </w:pPr>
      <w:r w:rsidRPr="003874B3">
        <w:rPr>
          <w:rFonts w:asciiTheme="majorHAnsi" w:hAnsiTheme="majorHAnsi" w:cstheme="majorHAnsi"/>
          <w:b/>
          <w:sz w:val="40"/>
        </w:rPr>
        <w:t xml:space="preserve">Temas del mandato </w:t>
      </w:r>
    </w:p>
    <w:p w:rsidR="003874B3" w:rsidRPr="003874B3" w:rsidRDefault="003874B3" w:rsidP="003874B3">
      <w:pPr>
        <w:spacing w:line="216" w:lineRule="auto"/>
        <w:jc w:val="both"/>
        <w:rPr>
          <w:rFonts w:asciiTheme="majorHAnsi" w:hAnsiTheme="majorHAnsi" w:cstheme="majorHAnsi"/>
          <w:sz w:val="40"/>
        </w:rPr>
      </w:pPr>
    </w:p>
    <w:p w:rsidR="003874B3" w:rsidRPr="003874B3" w:rsidRDefault="003874B3" w:rsidP="003874B3">
      <w:pPr>
        <w:spacing w:line="216" w:lineRule="auto"/>
        <w:ind w:left="360"/>
        <w:jc w:val="both"/>
        <w:rPr>
          <w:rFonts w:asciiTheme="majorHAnsi" w:hAnsiTheme="majorHAnsi" w:cstheme="majorHAnsi"/>
          <w:sz w:val="40"/>
        </w:rPr>
      </w:pP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1.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 w:themeColor="text1"/>
          <w:kern w:val="24"/>
          <w:sz w:val="40"/>
          <w:szCs w:val="40"/>
        </w:rPr>
        <w:t xml:space="preserve">Graves violaciones a los derechos humanos </w:t>
      </w: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>y graves infracciones al Derecho Internacional Humanitario (DIH), en particular aquellas que reflejen patrones o tengan un carácter masivo</w:t>
      </w:r>
    </w:p>
    <w:p w:rsidR="003874B3" w:rsidRPr="003874B3" w:rsidRDefault="003874B3" w:rsidP="003874B3">
      <w:pPr>
        <w:spacing w:line="216" w:lineRule="auto"/>
        <w:ind w:left="360"/>
        <w:jc w:val="both"/>
        <w:rPr>
          <w:rFonts w:asciiTheme="majorHAnsi" w:hAnsiTheme="majorHAnsi" w:cstheme="majorHAnsi"/>
          <w:sz w:val="40"/>
        </w:rPr>
      </w:pP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2.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 w:themeColor="text1"/>
          <w:kern w:val="24"/>
          <w:sz w:val="40"/>
          <w:szCs w:val="40"/>
        </w:rPr>
        <w:t xml:space="preserve">Responsabilidades colectivas del Estado </w:t>
      </w: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y los demás poderes públicos, de las FARC-EP, de  paramilitares, así como de cualquier otro grupo, organización o institución, nacional o internacional, que haya tenido alguna participación en el conflicto, </w:t>
      </w:r>
    </w:p>
    <w:p w:rsidR="003874B3" w:rsidRPr="003874B3" w:rsidRDefault="003874B3" w:rsidP="003874B3">
      <w:pPr>
        <w:spacing w:line="216" w:lineRule="auto"/>
        <w:ind w:left="360"/>
        <w:jc w:val="both"/>
        <w:rPr>
          <w:rFonts w:asciiTheme="majorHAnsi" w:hAnsiTheme="majorHAnsi" w:cstheme="majorHAnsi"/>
          <w:sz w:val="40"/>
        </w:rPr>
      </w:pP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3. El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 w:themeColor="text1"/>
          <w:kern w:val="24"/>
          <w:sz w:val="40"/>
          <w:szCs w:val="40"/>
        </w:rPr>
        <w:t xml:space="preserve">impacto humano y social </w:t>
      </w: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del conflicto </w:t>
      </w:r>
    </w:p>
    <w:p w:rsidR="003874B3" w:rsidRPr="003874B3" w:rsidRDefault="003874B3" w:rsidP="003874B3">
      <w:pPr>
        <w:spacing w:line="216" w:lineRule="auto"/>
        <w:ind w:left="360"/>
        <w:jc w:val="both"/>
        <w:rPr>
          <w:rFonts w:asciiTheme="majorHAnsi" w:hAnsiTheme="majorHAnsi" w:cstheme="majorHAnsi"/>
          <w:sz w:val="40"/>
        </w:rPr>
      </w:pP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4. El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 w:themeColor="text1"/>
          <w:kern w:val="24"/>
          <w:sz w:val="40"/>
          <w:szCs w:val="40"/>
        </w:rPr>
        <w:t xml:space="preserve">impacto del conflicto sobre </w:t>
      </w: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el ejercicio de la política y el funcionamiento de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 w:themeColor="text1"/>
          <w:kern w:val="24"/>
          <w:sz w:val="40"/>
          <w:szCs w:val="40"/>
        </w:rPr>
        <w:t xml:space="preserve">la democracia </w:t>
      </w:r>
    </w:p>
    <w:p w:rsidR="003874B3" w:rsidRPr="003874B3" w:rsidRDefault="003874B3" w:rsidP="003874B3">
      <w:pPr>
        <w:spacing w:line="216" w:lineRule="auto"/>
        <w:ind w:left="360"/>
        <w:jc w:val="both"/>
        <w:rPr>
          <w:rFonts w:asciiTheme="majorHAnsi" w:hAnsiTheme="majorHAnsi" w:cstheme="majorHAnsi"/>
          <w:sz w:val="40"/>
        </w:rPr>
      </w:pP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5. El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 w:themeColor="text1"/>
          <w:kern w:val="24"/>
          <w:sz w:val="40"/>
          <w:szCs w:val="40"/>
        </w:rPr>
        <w:t xml:space="preserve">impacto del conflicto sobre quienes participaron directamente en él </w:t>
      </w: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como combatientes y sobre sus familias y entornos. </w:t>
      </w:r>
    </w:p>
    <w:p w:rsidR="003874B3" w:rsidRPr="003874B3" w:rsidRDefault="003874B3" w:rsidP="003874B3">
      <w:pPr>
        <w:spacing w:line="216" w:lineRule="auto"/>
        <w:ind w:left="360"/>
        <w:jc w:val="both"/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</w:pP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6.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 w:themeColor="text1"/>
          <w:kern w:val="24"/>
          <w:sz w:val="40"/>
          <w:szCs w:val="40"/>
        </w:rPr>
        <w:t>El contexto histórico</w:t>
      </w:r>
      <w:r w:rsidRPr="003874B3">
        <w:rPr>
          <w:rFonts w:asciiTheme="majorHAnsi" w:eastAsia="Cambria Math" w:hAnsiTheme="majorHAnsi" w:cstheme="majorHAnsi"/>
          <w:color w:val="000000" w:themeColor="text1"/>
          <w:kern w:val="24"/>
          <w:sz w:val="40"/>
          <w:szCs w:val="40"/>
        </w:rPr>
        <w:t xml:space="preserve">; los orígenes y múltiples causas del conflicto, </w:t>
      </w:r>
    </w:p>
    <w:p w:rsidR="003874B3" w:rsidRPr="003874B3" w:rsidRDefault="003874B3" w:rsidP="003874B3">
      <w:pPr>
        <w:pStyle w:val="NormalWeb"/>
        <w:spacing w:before="200" w:beforeAutospacing="0" w:after="244" w:afterAutospacing="0" w:line="216" w:lineRule="auto"/>
        <w:ind w:left="360"/>
        <w:rPr>
          <w:rFonts w:asciiTheme="majorHAnsi" w:hAnsiTheme="majorHAnsi" w:cstheme="majorHAnsi"/>
        </w:rPr>
      </w:pP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7. Los factores y condiciones que facilitaron o contribuyeron a </w:t>
      </w:r>
      <w:r w:rsidRPr="003874B3">
        <w:rPr>
          <w:rFonts w:asciiTheme="majorHAnsi" w:eastAsia="Cambria Math" w:hAnsiTheme="majorHAnsi" w:cstheme="majorHAnsi"/>
          <w:b/>
          <w:bCs/>
          <w:color w:val="000000"/>
          <w:kern w:val="24"/>
          <w:sz w:val="40"/>
          <w:szCs w:val="40"/>
        </w:rPr>
        <w:t>la persistencia del conflicto</w:t>
      </w:r>
    </w:p>
    <w:p w:rsidR="003874B3" w:rsidRPr="003874B3" w:rsidRDefault="003874B3" w:rsidP="003874B3">
      <w:pPr>
        <w:pStyle w:val="NormalWeb"/>
        <w:spacing w:before="200" w:beforeAutospacing="0" w:after="244" w:afterAutospacing="0" w:line="216" w:lineRule="auto"/>
        <w:ind w:left="360"/>
        <w:rPr>
          <w:rFonts w:asciiTheme="majorHAnsi" w:hAnsiTheme="majorHAnsi" w:cstheme="majorHAnsi"/>
        </w:rPr>
      </w:pP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8.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/>
          <w:kern w:val="24"/>
          <w:sz w:val="40"/>
          <w:szCs w:val="40"/>
        </w:rPr>
        <w:t>El desarrollo del conflicto</w:t>
      </w: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, en particular la actuación del Estado, de las guerrillas, de los grupos </w:t>
      </w: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lastRenderedPageBreak/>
        <w:t xml:space="preserve">paramilitares y el involucramiento de diferentes sectores de la sociedad. </w:t>
      </w:r>
    </w:p>
    <w:p w:rsidR="003874B3" w:rsidRPr="003874B3" w:rsidRDefault="003874B3" w:rsidP="003874B3">
      <w:pPr>
        <w:pStyle w:val="NormalWeb"/>
        <w:spacing w:before="200" w:beforeAutospacing="0" w:after="244" w:afterAutospacing="0" w:line="216" w:lineRule="auto"/>
        <w:ind w:firstLine="360"/>
        <w:rPr>
          <w:rFonts w:asciiTheme="majorHAnsi" w:hAnsiTheme="majorHAnsi" w:cstheme="majorHAnsi"/>
        </w:rPr>
      </w:pP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9. El fenómeno del </w:t>
      </w:r>
      <w:r w:rsidRPr="003874B3">
        <w:rPr>
          <w:rFonts w:asciiTheme="majorHAnsi" w:eastAsia="Cambria Math" w:hAnsiTheme="majorHAnsi" w:cstheme="majorHAnsi"/>
          <w:b/>
          <w:bCs/>
          <w:color w:val="000000"/>
          <w:kern w:val="24"/>
          <w:sz w:val="40"/>
          <w:szCs w:val="40"/>
        </w:rPr>
        <w:t>paramilitarismo</w:t>
      </w:r>
    </w:p>
    <w:p w:rsidR="003874B3" w:rsidRPr="003874B3" w:rsidRDefault="003874B3" w:rsidP="003874B3">
      <w:pPr>
        <w:pStyle w:val="NormalWeb"/>
        <w:spacing w:before="200" w:beforeAutospacing="0" w:after="244" w:afterAutospacing="0" w:line="216" w:lineRule="auto"/>
        <w:ind w:firstLine="360"/>
        <w:rPr>
          <w:rFonts w:asciiTheme="majorHAnsi" w:hAnsiTheme="majorHAnsi" w:cstheme="majorHAnsi"/>
        </w:rPr>
      </w:pP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10.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/>
          <w:kern w:val="24"/>
          <w:sz w:val="40"/>
          <w:szCs w:val="40"/>
        </w:rPr>
        <w:t xml:space="preserve">El desplazamiento forzado y despojo de tierras </w:t>
      </w:r>
    </w:p>
    <w:p w:rsidR="003874B3" w:rsidRPr="003874B3" w:rsidRDefault="003874B3" w:rsidP="003874B3">
      <w:pPr>
        <w:pStyle w:val="NormalWeb"/>
        <w:spacing w:before="200" w:beforeAutospacing="0" w:after="0" w:afterAutospacing="0" w:line="216" w:lineRule="auto"/>
        <w:ind w:left="360"/>
        <w:rPr>
          <w:rFonts w:asciiTheme="majorHAnsi" w:hAnsiTheme="majorHAnsi" w:cstheme="majorHAnsi"/>
        </w:rPr>
      </w:pP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11.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/>
          <w:kern w:val="24"/>
          <w:sz w:val="40"/>
          <w:szCs w:val="40"/>
        </w:rPr>
        <w:t>La relación entre el conflicto y los cultivos de uso ilícito</w:t>
      </w: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, la producción y la comercialización de drogas ilícitas, y el lavado de activos </w:t>
      </w:r>
    </w:p>
    <w:p w:rsidR="003874B3" w:rsidRPr="003874B3" w:rsidRDefault="003874B3" w:rsidP="003874B3">
      <w:pPr>
        <w:pStyle w:val="NormalWeb"/>
        <w:spacing w:before="200" w:beforeAutospacing="0" w:after="251" w:afterAutospacing="0" w:line="216" w:lineRule="auto"/>
        <w:ind w:left="360"/>
        <w:rPr>
          <w:rFonts w:asciiTheme="majorHAnsi" w:hAnsiTheme="majorHAnsi" w:cstheme="majorHAnsi"/>
        </w:rPr>
      </w:pP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>12</w:t>
      </w:r>
      <w:r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>.</w:t>
      </w: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/>
          <w:kern w:val="24"/>
          <w:sz w:val="40"/>
          <w:szCs w:val="40"/>
        </w:rPr>
        <w:t xml:space="preserve">Los procesos de fortalecimiento del tejido social </w:t>
      </w: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en las comunidades y las experiencias de resiliencia individual o colectiva. </w:t>
      </w:r>
    </w:p>
    <w:p w:rsidR="003874B3" w:rsidRPr="003874B3" w:rsidRDefault="003874B3" w:rsidP="003874B3">
      <w:pPr>
        <w:pStyle w:val="NormalWeb"/>
        <w:spacing w:before="200" w:beforeAutospacing="0" w:after="0" w:afterAutospacing="0" w:line="216" w:lineRule="auto"/>
        <w:ind w:left="360"/>
        <w:rPr>
          <w:rFonts w:asciiTheme="majorHAnsi" w:hAnsiTheme="majorHAnsi" w:cstheme="majorHAnsi"/>
        </w:rPr>
      </w:pP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13. </w:t>
      </w:r>
      <w:r w:rsidRPr="003874B3">
        <w:rPr>
          <w:rFonts w:asciiTheme="majorHAnsi" w:eastAsia="Cambria Math" w:hAnsiTheme="majorHAnsi" w:cstheme="majorHAnsi"/>
          <w:b/>
          <w:bCs/>
          <w:i/>
          <w:iCs/>
          <w:color w:val="000000"/>
          <w:kern w:val="24"/>
          <w:sz w:val="40"/>
          <w:szCs w:val="40"/>
        </w:rPr>
        <w:t xml:space="preserve">Los procesos de transformación positiva </w:t>
      </w:r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de las </w:t>
      </w:r>
      <w:bookmarkStart w:id="0" w:name="_GoBack"/>
      <w:bookmarkEnd w:id="0"/>
      <w:r w:rsidRPr="003874B3">
        <w:rPr>
          <w:rFonts w:asciiTheme="majorHAnsi" w:eastAsia="Cambria Math" w:hAnsiTheme="majorHAnsi" w:cstheme="majorHAnsi"/>
          <w:color w:val="000000"/>
          <w:kern w:val="24"/>
          <w:sz w:val="40"/>
          <w:szCs w:val="40"/>
        </w:rPr>
        <w:t xml:space="preserve">organizaciones e instituciones </w:t>
      </w:r>
    </w:p>
    <w:p w:rsidR="003874B3" w:rsidRPr="003874B3" w:rsidRDefault="003874B3" w:rsidP="003874B3">
      <w:pPr>
        <w:spacing w:line="216" w:lineRule="auto"/>
        <w:ind w:left="360"/>
        <w:jc w:val="both"/>
        <w:rPr>
          <w:rFonts w:asciiTheme="majorHAnsi" w:eastAsia="Times New Roman" w:hAnsiTheme="majorHAnsi" w:cstheme="majorHAnsi"/>
          <w:sz w:val="40"/>
          <w:szCs w:val="24"/>
        </w:rPr>
      </w:pPr>
    </w:p>
    <w:sectPr w:rsidR="003874B3" w:rsidRPr="003874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903CB"/>
    <w:multiLevelType w:val="hybridMultilevel"/>
    <w:tmpl w:val="5E60E05C"/>
    <w:lvl w:ilvl="0" w:tplc="B458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EF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2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43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CB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83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8B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C7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0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B3"/>
    <w:rsid w:val="002A7078"/>
    <w:rsid w:val="003874B3"/>
    <w:rsid w:val="005F3D61"/>
    <w:rsid w:val="008412BC"/>
    <w:rsid w:val="00C2010B"/>
    <w:rsid w:val="00E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CF7D-4DB3-4222-B247-B39EA322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7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8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GONZALEZ</dc:creator>
  <cp:keywords/>
  <dc:description/>
  <cp:lastModifiedBy>LUCIA GONZALEZ</cp:lastModifiedBy>
  <cp:revision>1</cp:revision>
  <dcterms:created xsi:type="dcterms:W3CDTF">2019-07-01T17:02:00Z</dcterms:created>
  <dcterms:modified xsi:type="dcterms:W3CDTF">2019-07-01T17:05:00Z</dcterms:modified>
</cp:coreProperties>
</file>